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5E3" w:rsidRPr="000D75C6" w:rsidRDefault="004B75E3" w:rsidP="00496666">
      <w:pPr>
        <w:tabs>
          <w:tab w:val="left" w:pos="2829"/>
          <w:tab w:val="left" w:pos="4680"/>
        </w:tabs>
        <w:ind w:left="3119" w:righ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9849D" wp14:editId="70B1338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2026285" cy="800100"/>
                <wp:effectExtent l="5715" t="8255" r="6350" b="107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5E3" w:rsidRPr="00A44BEB" w:rsidRDefault="004B75E3" w:rsidP="004B75E3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Educational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9pt;margin-top:-9pt;width:159.5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">
                <v:textbox>
                  <w:txbxContent>
                    <w:p w:rsidR="004B75E3" w:rsidRPr="00A44BEB" w:rsidRDefault="004B75E3" w:rsidP="004B75E3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Educational Resource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lang w:eastAsia="en-AU"/>
        </w:rPr>
        <w:drawing>
          <wp:anchor distT="0" distB="0" distL="114300" distR="114300" simplePos="0" relativeHeight="251660288" behindDoc="1" locked="0" layoutInCell="1" allowOverlap="1" wp14:anchorId="5912C099" wp14:editId="3F739668">
            <wp:simplePos x="0" y="0"/>
            <wp:positionH relativeFrom="column">
              <wp:posOffset>2974975</wp:posOffset>
            </wp:positionH>
            <wp:positionV relativeFrom="paragraph">
              <wp:posOffset>-114300</wp:posOffset>
            </wp:positionV>
            <wp:extent cx="3086100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E3" w:rsidRPr="001F77A7" w:rsidRDefault="004B75E3" w:rsidP="004B75E3">
      <w:pPr>
        <w:tabs>
          <w:tab w:val="left" w:pos="2829"/>
          <w:tab w:val="left" w:pos="4680"/>
        </w:tabs>
        <w:ind w:right="-142"/>
        <w:rPr>
          <w:sz w:val="52"/>
        </w:rPr>
      </w:pPr>
      <w:r>
        <w:rPr>
          <w:sz w:val="52"/>
        </w:rPr>
        <w:tab/>
      </w:r>
      <w:r>
        <w:rPr>
          <w:sz w:val="52"/>
        </w:rP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/>
        <w:tblLook w:val="04A0" w:firstRow="1" w:lastRow="0" w:firstColumn="1" w:lastColumn="0" w:noHBand="0" w:noVBand="1"/>
      </w:tblPr>
      <w:tblGrid>
        <w:gridCol w:w="9242"/>
      </w:tblGrid>
      <w:tr w:rsidR="004B75E3" w:rsidRPr="00580614" w:rsidTr="0041225A">
        <w:tc>
          <w:tcPr>
            <w:tcW w:w="9854" w:type="dxa"/>
            <w:shd w:val="clear" w:color="auto" w:fill="FBD4B4"/>
          </w:tcPr>
          <w:p w:rsidR="004B75E3" w:rsidRPr="00496666" w:rsidRDefault="00496666" w:rsidP="0041225A">
            <w:pPr>
              <w:tabs>
                <w:tab w:val="right" w:pos="9168"/>
              </w:tabs>
              <w:ind w:right="26"/>
              <w:rPr>
                <w:b/>
                <w:sz w:val="32"/>
                <w:szCs w:val="32"/>
              </w:rPr>
            </w:pPr>
            <w:r w:rsidRPr="00496666">
              <w:rPr>
                <w:b/>
                <w:sz w:val="32"/>
                <w:szCs w:val="32"/>
              </w:rPr>
              <w:t>Adult inpatient</w:t>
            </w:r>
            <w:r w:rsidR="00DB1F60">
              <w:rPr>
                <w:b/>
                <w:sz w:val="32"/>
                <w:szCs w:val="32"/>
              </w:rPr>
              <w:t xml:space="preserve"> admission and risk assessment</w:t>
            </w:r>
            <w:r w:rsidR="0063375A">
              <w:rPr>
                <w:b/>
                <w:sz w:val="32"/>
                <w:szCs w:val="32"/>
              </w:rPr>
              <w:t xml:space="preserve"> form</w:t>
            </w:r>
            <w:r w:rsidR="00DB1F60">
              <w:rPr>
                <w:b/>
                <w:sz w:val="32"/>
                <w:szCs w:val="32"/>
              </w:rPr>
              <w:t xml:space="preserve"> </w:t>
            </w:r>
            <w:r w:rsidRPr="00496666">
              <w:rPr>
                <w:b/>
                <w:sz w:val="32"/>
                <w:szCs w:val="32"/>
              </w:rPr>
              <w:t>Education</w:t>
            </w:r>
          </w:p>
        </w:tc>
      </w:tr>
    </w:tbl>
    <w:p w:rsidR="004B75E3" w:rsidRPr="0051187A" w:rsidRDefault="004B75E3" w:rsidP="004B75E3">
      <w:pPr>
        <w:rPr>
          <w:vanish/>
        </w:rPr>
      </w:pPr>
    </w:p>
    <w:tbl>
      <w:tblPr>
        <w:tblW w:w="10146" w:type="dxa"/>
        <w:tblInd w:w="-72" w:type="dxa"/>
        <w:tblLook w:val="0000" w:firstRow="0" w:lastRow="0" w:firstColumn="0" w:lastColumn="0" w:noHBand="0" w:noVBand="0"/>
      </w:tblPr>
      <w:tblGrid>
        <w:gridCol w:w="3582"/>
        <w:gridCol w:w="696"/>
        <w:gridCol w:w="5868"/>
      </w:tblGrid>
      <w:tr w:rsidR="004B75E3" w:rsidRPr="00EC261A" w:rsidTr="00496666">
        <w:tc>
          <w:tcPr>
            <w:tcW w:w="3582" w:type="dxa"/>
          </w:tcPr>
          <w:p w:rsidR="004B75E3" w:rsidRPr="00F5639B" w:rsidRDefault="004B75E3" w:rsidP="0041225A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 xml:space="preserve">Sites where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the resource can be utilised: </w:t>
            </w:r>
          </w:p>
        </w:tc>
        <w:tc>
          <w:tcPr>
            <w:tcW w:w="6564" w:type="dxa"/>
            <w:gridSpan w:val="2"/>
          </w:tcPr>
          <w:p w:rsidR="004B75E3" w:rsidRPr="00EC261A" w:rsidRDefault="004B75E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Hunter New England Local Health District</w:t>
            </w:r>
            <w:r w:rsidR="00496666">
              <w:t xml:space="preserve"> </w:t>
            </w:r>
            <w:r w:rsidR="00496666" w:rsidRPr="00496666">
              <w:rPr>
                <w:rFonts w:ascii="Arial" w:hAnsi="Arial" w:cs="Arial"/>
                <w:sz w:val="20"/>
                <w:szCs w:val="20"/>
              </w:rPr>
              <w:t xml:space="preserve"> Acute/Subacute adult inpatient wards and units – excluding Maternity</w:t>
            </w:r>
          </w:p>
        </w:tc>
      </w:tr>
      <w:tr w:rsidR="004B75E3" w:rsidRPr="00EC261A" w:rsidTr="00496666">
        <w:tc>
          <w:tcPr>
            <w:tcW w:w="3582" w:type="dxa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Target audience</w:t>
            </w:r>
          </w:p>
        </w:tc>
        <w:tc>
          <w:tcPr>
            <w:tcW w:w="6564" w:type="dxa"/>
            <w:gridSpan w:val="2"/>
          </w:tcPr>
          <w:p w:rsidR="004B75E3" w:rsidRPr="00EC261A" w:rsidRDefault="00496666" w:rsidP="0041225A">
            <w:pPr>
              <w:tabs>
                <w:tab w:val="left" w:pos="3505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496666">
              <w:rPr>
                <w:rFonts w:ascii="Arial" w:hAnsi="Arial" w:cs="Arial"/>
                <w:sz w:val="20"/>
                <w:szCs w:val="20"/>
              </w:rPr>
              <w:t>Nursing Staff</w:t>
            </w:r>
          </w:p>
        </w:tc>
      </w:tr>
      <w:tr w:rsidR="004B75E3" w:rsidRPr="00EC261A" w:rsidTr="00496666">
        <w:tc>
          <w:tcPr>
            <w:tcW w:w="3582" w:type="dxa"/>
          </w:tcPr>
          <w:p w:rsidR="004B75E3" w:rsidRPr="00C24304" w:rsidRDefault="004B75E3" w:rsidP="0041225A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64" w:type="dxa"/>
            <w:gridSpan w:val="2"/>
          </w:tcPr>
          <w:p w:rsidR="004B75E3" w:rsidRPr="00883D8D" w:rsidRDefault="004B75E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496666">
        <w:tc>
          <w:tcPr>
            <w:tcW w:w="3582" w:type="dxa"/>
          </w:tcPr>
          <w:p w:rsidR="00496666" w:rsidRDefault="00496666" w:rsidP="00496666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96666" w:rsidRDefault="00496666" w:rsidP="00496666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96666" w:rsidRPr="00496666" w:rsidRDefault="00496666" w:rsidP="00496666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496666">
              <w:rPr>
                <w:rFonts w:ascii="Arial" w:hAnsi="Arial" w:cs="Arial"/>
                <w:b/>
                <w:sz w:val="20"/>
                <w:szCs w:val="20"/>
              </w:rPr>
              <w:t>Learning Outcomes</w:t>
            </w:r>
          </w:p>
          <w:p w:rsidR="00496666" w:rsidRPr="00C24304" w:rsidRDefault="00496666" w:rsidP="00496666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496666">
              <w:rPr>
                <w:rFonts w:ascii="Arial" w:hAnsi="Arial" w:cs="Arial"/>
                <w:b/>
                <w:sz w:val="20"/>
                <w:szCs w:val="20"/>
              </w:rPr>
              <w:t xml:space="preserve">On completion of this package you will be better able to: </w:t>
            </w:r>
          </w:p>
        </w:tc>
        <w:tc>
          <w:tcPr>
            <w:tcW w:w="6564" w:type="dxa"/>
            <w:gridSpan w:val="2"/>
          </w:tcPr>
          <w:p w:rsidR="004B75E3" w:rsidRDefault="00496666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496666">
              <w:rPr>
                <w:rFonts w:ascii="Arial" w:hAnsi="Arial" w:cs="Arial"/>
                <w:sz w:val="20"/>
                <w:szCs w:val="20"/>
              </w:rPr>
              <w:t>Education relating to how to complete documentation on Comprehensive assessment of adult inpatients (excluding maternity)</w:t>
            </w:r>
          </w:p>
          <w:p w:rsidR="00496666" w:rsidRDefault="00496666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496666" w:rsidRPr="00496666" w:rsidRDefault="00496666" w:rsidP="00496666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496666">
              <w:rPr>
                <w:rFonts w:ascii="Arial" w:hAnsi="Arial" w:cs="Arial"/>
                <w:sz w:val="20"/>
                <w:szCs w:val="20"/>
              </w:rPr>
              <w:t>Identify the revised Adult inpatient admission and risk assessment form.</w:t>
            </w:r>
          </w:p>
          <w:p w:rsidR="00496666" w:rsidRPr="00496666" w:rsidRDefault="00496666" w:rsidP="00496666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496666">
              <w:rPr>
                <w:rFonts w:ascii="Arial" w:hAnsi="Arial" w:cs="Arial"/>
                <w:sz w:val="20"/>
                <w:szCs w:val="20"/>
              </w:rPr>
              <w:t>Clarify the required screening of risk on admission to provide a comprehensive assessment of adult inpatients.</w:t>
            </w:r>
          </w:p>
          <w:p w:rsidR="00496666" w:rsidRPr="00496666" w:rsidRDefault="00496666" w:rsidP="00496666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496666">
              <w:rPr>
                <w:rFonts w:ascii="Arial" w:hAnsi="Arial" w:cs="Arial"/>
                <w:sz w:val="20"/>
                <w:szCs w:val="20"/>
              </w:rPr>
              <w:t xml:space="preserve">Demonstrate how risk assessment will inform planning of care to prevent adverse events e.g. falls, pressure injury, </w:t>
            </w:r>
            <w:proofErr w:type="gramStart"/>
            <w:r w:rsidRPr="00496666">
              <w:rPr>
                <w:rFonts w:ascii="Arial" w:hAnsi="Arial" w:cs="Arial"/>
                <w:sz w:val="20"/>
                <w:szCs w:val="20"/>
              </w:rPr>
              <w:t>smoking</w:t>
            </w:r>
            <w:proofErr w:type="gramEnd"/>
            <w:r w:rsidRPr="00496666">
              <w:rPr>
                <w:rFonts w:ascii="Arial" w:hAnsi="Arial" w:cs="Arial"/>
                <w:sz w:val="20"/>
                <w:szCs w:val="20"/>
              </w:rPr>
              <w:t>, drug and alcohol withdrawal.</w:t>
            </w:r>
          </w:p>
        </w:tc>
      </w:tr>
      <w:tr w:rsidR="004B75E3" w:rsidRPr="00EC261A" w:rsidTr="002D60FE">
        <w:trPr>
          <w:trHeight w:val="97"/>
        </w:trPr>
        <w:tc>
          <w:tcPr>
            <w:tcW w:w="10146" w:type="dxa"/>
            <w:gridSpan w:val="3"/>
          </w:tcPr>
          <w:p w:rsidR="004B75E3" w:rsidRPr="00496666" w:rsidRDefault="004B75E3" w:rsidP="00496666">
            <w:pPr>
              <w:pStyle w:val="ListParagraph"/>
              <w:tabs>
                <w:tab w:val="left" w:pos="3990"/>
              </w:tabs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496666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Keywords</w:t>
            </w:r>
          </w:p>
        </w:tc>
        <w:tc>
          <w:tcPr>
            <w:tcW w:w="5868" w:type="dxa"/>
          </w:tcPr>
          <w:p w:rsidR="004B75E3" w:rsidRPr="00EC261A" w:rsidRDefault="00496666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496666">
              <w:rPr>
                <w:rFonts w:ascii="Arial" w:hAnsi="Arial" w:cs="Arial"/>
                <w:sz w:val="20"/>
                <w:szCs w:val="20"/>
              </w:rPr>
              <w:t>Initial, risk, assessment, tool, admission, transfer, discharge, care, coordination, adult, inpatient, nurse, patient</w:t>
            </w:r>
          </w:p>
        </w:tc>
      </w:tr>
      <w:tr w:rsidR="004B75E3" w:rsidRPr="00EC261A" w:rsidTr="00496666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Resource</w:t>
            </w:r>
            <w:r w:rsidRPr="00EC261A">
              <w:rPr>
                <w:rFonts w:ascii="Arial" w:hAnsi="Arial" w:cs="Arial"/>
                <w:b/>
                <w:sz w:val="20"/>
                <w:szCs w:val="20"/>
              </w:rPr>
              <w:t xml:space="preserve"> registration number</w:t>
            </w:r>
          </w:p>
        </w:tc>
        <w:tc>
          <w:tcPr>
            <w:tcW w:w="5868" w:type="dxa"/>
          </w:tcPr>
          <w:p w:rsidR="004B75E3" w:rsidRPr="00EC261A" w:rsidRDefault="004B75E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496666">
        <w:tc>
          <w:tcPr>
            <w:tcW w:w="4278" w:type="dxa"/>
            <w:gridSpan w:val="2"/>
          </w:tcPr>
          <w:p w:rsidR="004B75E3" w:rsidRPr="00EC261A" w:rsidRDefault="004B75E3" w:rsidP="0041225A">
            <w:pPr>
              <w:widowControl w:val="0"/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 xml:space="preserve">Replaces existing </w:t>
            </w:r>
            <w:r>
              <w:rPr>
                <w:rFonts w:ascii="Arial" w:hAnsi="Arial" w:cs="Arial"/>
                <w:b/>
                <w:sz w:val="20"/>
                <w:szCs w:val="20"/>
              </w:rPr>
              <w:t>resource</w:t>
            </w:r>
            <w:r w:rsidRPr="00EC261A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5868" w:type="dxa"/>
          </w:tcPr>
          <w:p w:rsidR="004B75E3" w:rsidRPr="00EC261A" w:rsidRDefault="004B75E3" w:rsidP="0041225A">
            <w:pPr>
              <w:widowControl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75E3" w:rsidRPr="00EC261A" w:rsidTr="00496666">
        <w:tc>
          <w:tcPr>
            <w:tcW w:w="4278" w:type="dxa"/>
            <w:gridSpan w:val="2"/>
          </w:tcPr>
          <w:p w:rsidR="004B75E3" w:rsidRPr="00EC261A" w:rsidRDefault="004B75E3" w:rsidP="0041225A">
            <w:pPr>
              <w:widowControl w:val="0"/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41225A">
            <w:pPr>
              <w:widowControl w:val="0"/>
              <w:spacing w:before="6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B75E3" w:rsidRPr="00EC261A" w:rsidTr="00496666">
        <w:trPr>
          <w:cantSplit/>
        </w:trPr>
        <w:tc>
          <w:tcPr>
            <w:tcW w:w="10146" w:type="dxa"/>
            <w:gridSpan w:val="3"/>
          </w:tcPr>
          <w:p w:rsidR="004B75E3" w:rsidRPr="00397DF2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Related Legislation, Australian Standard, NSW Ministry of Health Policy Directive or Guideline, National Safety and Quality Health Service Standard (NSQHSS) and/or other, HNE Health Document, Professional Guideline, Code of Practice or Ethics:</w:t>
            </w:r>
          </w:p>
        </w:tc>
      </w:tr>
      <w:tr w:rsidR="004B75E3" w:rsidRPr="00EC261A" w:rsidTr="00496666">
        <w:trPr>
          <w:cantSplit/>
          <w:trHeight w:val="614"/>
        </w:trPr>
        <w:tc>
          <w:tcPr>
            <w:tcW w:w="10146" w:type="dxa"/>
            <w:gridSpan w:val="3"/>
          </w:tcPr>
          <w:p w:rsidR="00B75BFA" w:rsidRPr="00B75BFA" w:rsidRDefault="004B75E3" w:rsidP="00B75BFA">
            <w:pPr>
              <w:numPr>
                <w:ilvl w:val="0"/>
                <w:numId w:val="1"/>
              </w:numPr>
              <w:spacing w:before="60" w:after="60" w:line="240" w:lineRule="auto"/>
              <w:ind w:left="639"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9" w:history="1">
              <w:r w:rsidR="00B75BFA" w:rsidRPr="00B75BFA">
                <w:rPr>
                  <w:rStyle w:val="Hyperlink"/>
                  <w:rFonts w:ascii="Arial" w:hAnsi="Arial" w:cs="Arial"/>
                  <w:sz w:val="20"/>
                  <w:szCs w:val="20"/>
                </w:rPr>
                <w:t>Clinical Procedure Safety PD2014_036</w:t>
              </w:r>
            </w:hyperlink>
          </w:p>
          <w:p w:rsidR="00B75BFA" w:rsidRPr="00B75BFA" w:rsidRDefault="00877584" w:rsidP="00B75BFA">
            <w:pPr>
              <w:numPr>
                <w:ilvl w:val="0"/>
                <w:numId w:val="1"/>
              </w:numPr>
              <w:spacing w:before="60" w:after="60" w:line="240" w:lineRule="auto"/>
              <w:ind w:left="639" w:right="16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B75BFA" w:rsidRPr="00B75BFA">
                <w:rPr>
                  <w:rStyle w:val="Hyperlink"/>
                  <w:rFonts w:ascii="Arial" w:hAnsi="Arial" w:cs="Arial"/>
                  <w:sz w:val="20"/>
                  <w:szCs w:val="20"/>
                </w:rPr>
                <w:t>Care Coordination: Planning from Admission to Transfer of Care in NSW Public Hospitals</w:t>
              </w:r>
            </w:hyperlink>
          </w:p>
          <w:p w:rsidR="00B75BFA" w:rsidRPr="00B75BFA" w:rsidRDefault="00877584" w:rsidP="00B75BFA">
            <w:pPr>
              <w:numPr>
                <w:ilvl w:val="0"/>
                <w:numId w:val="1"/>
              </w:numPr>
              <w:spacing w:before="60" w:after="60" w:line="240" w:lineRule="auto"/>
              <w:ind w:left="639" w:right="16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B75BFA" w:rsidRPr="00B75BFA">
                <w:rPr>
                  <w:rStyle w:val="Hyperlink"/>
                  <w:rFonts w:ascii="Arial" w:hAnsi="Arial" w:cs="Arial"/>
                  <w:sz w:val="20"/>
                  <w:szCs w:val="20"/>
                </w:rPr>
                <w:t>Clinical Handover - Standard Key Principles</w:t>
              </w:r>
            </w:hyperlink>
          </w:p>
          <w:p w:rsidR="004B75E3" w:rsidRPr="00EC261A" w:rsidRDefault="00877584" w:rsidP="00B75BFA">
            <w:pPr>
              <w:numPr>
                <w:ilvl w:val="0"/>
                <w:numId w:val="1"/>
              </w:numPr>
              <w:spacing w:before="60" w:after="60" w:line="240" w:lineRule="auto"/>
              <w:ind w:left="639" w:right="16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B75BFA" w:rsidRPr="00B75BFA">
                <w:rPr>
                  <w:rStyle w:val="Hyperlink"/>
                  <w:rFonts w:ascii="Arial" w:hAnsi="Arial" w:cs="Arial"/>
                  <w:sz w:val="20"/>
                  <w:szCs w:val="20"/>
                </w:rPr>
                <w:t>Nutrition Care PD2011_078</w:t>
              </w:r>
            </w:hyperlink>
          </w:p>
        </w:tc>
      </w:tr>
      <w:tr w:rsidR="004B75E3" w:rsidRPr="00EC261A" w:rsidTr="00496666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 this package recorded in HETI?              </w:t>
            </w:r>
          </w:p>
        </w:tc>
        <w:tc>
          <w:tcPr>
            <w:tcW w:w="5868" w:type="dxa"/>
          </w:tcPr>
          <w:p w:rsidR="004B75E3" w:rsidRPr="00EC261A" w:rsidRDefault="00B75BFA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75E3" w:rsidRPr="00EC261A" w:rsidTr="00496666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EC261A">
              <w:rPr>
                <w:rFonts w:ascii="Arial" w:hAnsi="Arial" w:cs="Arial"/>
                <w:b/>
                <w:sz w:val="20"/>
                <w:szCs w:val="20"/>
              </w:rPr>
              <w:t>ontact person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Pr="00EC261A" w:rsidRDefault="00B75BFA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B75BFA">
              <w:rPr>
                <w:rFonts w:ascii="Arial" w:hAnsi="Arial" w:cs="Arial"/>
                <w:sz w:val="20"/>
                <w:szCs w:val="20"/>
              </w:rPr>
              <w:t>Karen McLaughlin</w:t>
            </w:r>
          </w:p>
        </w:tc>
      </w:tr>
      <w:tr w:rsidR="004B75E3" w:rsidRPr="00EC261A" w:rsidTr="00496666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Contact details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Pr="00EC261A" w:rsidRDefault="00877584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B75BFA" w:rsidRPr="00B75BFA">
                <w:rPr>
                  <w:rStyle w:val="Hyperlink"/>
                  <w:rFonts w:ascii="Arial" w:hAnsi="Arial" w:cs="Arial"/>
                  <w:b/>
                  <w:sz w:val="20"/>
                  <w:szCs w:val="20"/>
                  <w:lang w:val="en-US"/>
                </w:rPr>
                <w:t>Karen.McLaughlin@hnehealth.nsw.gov.au</w:t>
              </w:r>
            </w:hyperlink>
          </w:p>
        </w:tc>
      </w:tr>
      <w:tr w:rsidR="004B75E3" w:rsidRPr="00EC261A" w:rsidTr="0041225A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41225A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Issue date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Pr="00EC261A" w:rsidRDefault="009B4E1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July 2016</w:t>
            </w:r>
          </w:p>
        </w:tc>
      </w:tr>
      <w:tr w:rsidR="004B75E3" w:rsidRPr="00EC261A" w:rsidTr="0041225A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Review date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Pr="000353FB" w:rsidRDefault="009B4E1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July 2019</w:t>
            </w:r>
          </w:p>
        </w:tc>
      </w:tr>
      <w:tr w:rsidR="004B75E3" w:rsidRPr="00EC261A" w:rsidTr="0041225A">
        <w:tc>
          <w:tcPr>
            <w:tcW w:w="4278" w:type="dxa"/>
            <w:gridSpan w:val="2"/>
          </w:tcPr>
          <w:p w:rsidR="004B75E3" w:rsidRPr="00EC261A" w:rsidRDefault="004B75E3" w:rsidP="0041225A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41225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B1F60" w:rsidRDefault="00DB1F60" w:rsidP="009B4E13">
      <w:pPr>
        <w:rPr>
          <w:b/>
        </w:rPr>
      </w:pPr>
    </w:p>
    <w:p w:rsidR="00DB1F60" w:rsidRDefault="00DB1F60" w:rsidP="009B4E13">
      <w:pPr>
        <w:rPr>
          <w:b/>
        </w:rPr>
      </w:pPr>
    </w:p>
    <w:p w:rsidR="009B4E13" w:rsidRPr="00DB1F60" w:rsidRDefault="009B4E13" w:rsidP="009B4E13">
      <w:pPr>
        <w:rPr>
          <w:b/>
          <w:sz w:val="32"/>
          <w:szCs w:val="32"/>
        </w:rPr>
      </w:pPr>
      <w:r w:rsidRPr="00DB1F60">
        <w:rPr>
          <w:b/>
          <w:sz w:val="32"/>
          <w:szCs w:val="32"/>
        </w:rPr>
        <w:t>To view the PowerPoint presentation, double click on the image below and scroll down.</w:t>
      </w:r>
    </w:p>
    <w:p w:rsidR="00DB1F60" w:rsidRDefault="00DB1F60" w:rsidP="009B4E13">
      <w:pPr>
        <w:rPr>
          <w:b/>
        </w:rPr>
      </w:pPr>
    </w:p>
    <w:p w:rsidR="00DB1F60" w:rsidRDefault="00DB1F60" w:rsidP="009B4E13">
      <w:pPr>
        <w:rPr>
          <w:b/>
        </w:rPr>
      </w:pPr>
    </w:p>
    <w:p w:rsidR="00DB1F60" w:rsidRPr="009B4E13" w:rsidRDefault="00877584" w:rsidP="009B4E13">
      <w:pPr>
        <w:rPr>
          <w:b/>
        </w:rPr>
      </w:pPr>
      <w:r w:rsidRPr="00877584">
        <w:rPr>
          <w:b/>
        </w:rPr>
        <w:object w:dxaOrig="5403" w:dyaOrig="7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69.8pt;height:390.35pt" o:ole="" o:bordertopcolor="this" o:borderleftcolor="this" o:borderbottomcolor="this" o:borderrightcolor="this">
            <v:imagedata r:id="rId14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how.8" ShapeID="_x0000_i1027" DrawAspect="Content" ObjectID="_1530944318" r:id="rId15"/>
        </w:object>
      </w:r>
      <w:bookmarkStart w:id="0" w:name="_GoBack"/>
      <w:bookmarkEnd w:id="0"/>
    </w:p>
    <w:p w:rsidR="009B4E13" w:rsidRDefault="009B4E13" w:rsidP="00B75BFA"/>
    <w:p w:rsidR="00DB1F60" w:rsidRPr="00DB1F60" w:rsidRDefault="00DB1F60" w:rsidP="00DB1F60">
      <w:pPr>
        <w:spacing w:before="120" w:after="120" w:line="240" w:lineRule="auto"/>
        <w:rPr>
          <w:rFonts w:ascii="Arial" w:eastAsia="Times New Roman" w:hAnsi="Arial" w:cs="Arial"/>
          <w:sz w:val="20"/>
          <w:szCs w:val="20"/>
          <w:lang w:eastAsia="en-AU"/>
        </w:rPr>
      </w:pPr>
      <w:r w:rsidRPr="00DB1F60">
        <w:rPr>
          <w:rFonts w:ascii="Arial" w:eastAsia="Times New Roman" w:hAnsi="Arial" w:cs="Arial"/>
          <w:b/>
          <w:i/>
          <w:sz w:val="20"/>
          <w:szCs w:val="20"/>
          <w:u w:val="single"/>
          <w:lang w:eastAsia="en-AU"/>
        </w:rPr>
        <w:t>Double click on image above to view presentation</w:t>
      </w:r>
    </w:p>
    <w:p w:rsidR="00DB1F60" w:rsidRDefault="00DB1F60" w:rsidP="00DB1F60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en-AU"/>
        </w:rPr>
      </w:pPr>
    </w:p>
    <w:p w:rsidR="00DB1F60" w:rsidRDefault="00DB1F60" w:rsidP="00DB1F60">
      <w:pPr>
        <w:spacing w:before="120" w:after="12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en-AU"/>
        </w:rPr>
      </w:pPr>
    </w:p>
    <w:p w:rsidR="00DB1F60" w:rsidRDefault="00DB1F60" w:rsidP="00DB1F60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en-AU"/>
        </w:rPr>
      </w:pPr>
    </w:p>
    <w:p w:rsidR="00DB1F60" w:rsidRDefault="00DB1F60" w:rsidP="00DB1F60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en-AU"/>
        </w:rPr>
      </w:pPr>
    </w:p>
    <w:p w:rsidR="00DB1F60" w:rsidRPr="00DB1F60" w:rsidRDefault="00DB1F60" w:rsidP="00DB1F60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en-AU"/>
        </w:rPr>
      </w:pPr>
      <w:r w:rsidRPr="00DB1F60">
        <w:rPr>
          <w:rFonts w:ascii="Arial" w:eastAsia="Times New Roman" w:hAnsi="Arial" w:cs="Arial"/>
          <w:b/>
          <w:sz w:val="32"/>
          <w:szCs w:val="32"/>
          <w:u w:val="single"/>
          <w:lang w:eastAsia="en-AU"/>
        </w:rPr>
        <w:lastRenderedPageBreak/>
        <w:t>To print presentation</w:t>
      </w:r>
    </w:p>
    <w:p w:rsidR="00DB1F60" w:rsidRPr="00DB1F60" w:rsidRDefault="00DB1F60" w:rsidP="00DB1F60">
      <w:pPr>
        <w:spacing w:before="120" w:after="120" w:line="240" w:lineRule="auto"/>
        <w:rPr>
          <w:rFonts w:ascii="Arial" w:eastAsia="Times New Roman" w:hAnsi="Arial" w:cs="Arial"/>
          <w:sz w:val="20"/>
          <w:szCs w:val="20"/>
          <w:lang w:eastAsia="en-AU"/>
        </w:rPr>
      </w:pPr>
      <w:r w:rsidRPr="00DB1F60">
        <w:rPr>
          <w:rFonts w:ascii="Arial" w:eastAsia="Times New Roman" w:hAnsi="Arial" w:cs="Arial"/>
          <w:sz w:val="20"/>
          <w:szCs w:val="20"/>
          <w:lang w:eastAsia="en-AU"/>
        </w:rPr>
        <w:t xml:space="preserve">1. Right click on image, select “presentation object”, and then “open”. </w:t>
      </w:r>
    </w:p>
    <w:p w:rsidR="00DB1F60" w:rsidRPr="00DB1F60" w:rsidRDefault="00DB1F60" w:rsidP="00DB1F60">
      <w:pPr>
        <w:spacing w:before="120" w:after="120" w:line="240" w:lineRule="auto"/>
        <w:rPr>
          <w:rFonts w:ascii="Arial" w:eastAsia="Times New Roman" w:hAnsi="Arial" w:cs="Arial"/>
          <w:sz w:val="20"/>
          <w:szCs w:val="20"/>
          <w:lang w:eastAsia="en-AU"/>
        </w:rPr>
      </w:pPr>
      <w:r w:rsidRPr="00DB1F60">
        <w:rPr>
          <w:rFonts w:ascii="Arial" w:eastAsia="Times New Roman" w:hAnsi="Arial" w:cs="Arial"/>
          <w:sz w:val="20"/>
          <w:szCs w:val="20"/>
          <w:lang w:eastAsia="en-AU"/>
        </w:rPr>
        <w:t>2. The presentation will open in a format that is able to be printed.</w:t>
      </w:r>
    </w:p>
    <w:p w:rsidR="00DB1F60" w:rsidRDefault="00DB1F60" w:rsidP="00B75BFA">
      <w:r>
        <w:rPr>
          <w:noProof/>
          <w:lang w:eastAsia="en-AU"/>
        </w:rPr>
        <w:drawing>
          <wp:inline distT="0" distB="0" distL="0" distR="0" wp14:anchorId="38D5E7C1" wp14:editId="4AAA63F4">
            <wp:extent cx="5596569" cy="4583017"/>
            <wp:effectExtent l="0" t="0" r="444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3654" t="20512" r="14429" b="33024"/>
                    <a:stretch/>
                  </pic:blipFill>
                  <pic:spPr bwMode="auto">
                    <a:xfrm>
                      <a:off x="0" y="0"/>
                      <a:ext cx="5616993" cy="459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1F60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E13" w:rsidRDefault="009B4E13" w:rsidP="009B4E13">
      <w:pPr>
        <w:spacing w:after="0" w:line="240" w:lineRule="auto"/>
      </w:pPr>
      <w:r>
        <w:separator/>
      </w:r>
    </w:p>
  </w:endnote>
  <w:endnote w:type="continuationSeparator" w:id="0">
    <w:p w:rsidR="009B4E13" w:rsidRDefault="009B4E13" w:rsidP="009B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E13" w:rsidRDefault="009B4E13" w:rsidP="009B4E13">
      <w:pPr>
        <w:spacing w:after="0" w:line="240" w:lineRule="auto"/>
      </w:pPr>
      <w:r>
        <w:separator/>
      </w:r>
    </w:p>
  </w:footnote>
  <w:footnote w:type="continuationSeparator" w:id="0">
    <w:p w:rsidR="009B4E13" w:rsidRDefault="009B4E13" w:rsidP="009B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E13" w:rsidRDefault="009B4E13" w:rsidP="009B4E13">
    <w:pPr>
      <w:pStyle w:val="Header"/>
      <w:jc w:val="right"/>
    </w:pPr>
    <w:r w:rsidRPr="009B4E13">
      <w:t xml:space="preserve">Adult inpatient admission and risk assessment: Education </w:t>
    </w:r>
    <w:r w:rsidR="0063375A">
      <w:t>ER</w:t>
    </w:r>
    <w:r w:rsidR="00DB1F60">
      <w:t>: 16</w:t>
    </w:r>
    <w:r w:rsidR="0063375A">
      <w:t>_04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2AE9"/>
    <w:multiLevelType w:val="hybridMultilevel"/>
    <w:tmpl w:val="E3B4F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32406"/>
    <w:multiLevelType w:val="hybridMultilevel"/>
    <w:tmpl w:val="5292129E"/>
    <w:lvl w:ilvl="0" w:tplc="0C09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70" w:hanging="360"/>
      </w:pPr>
      <w:rPr>
        <w:rFonts w:ascii="Wingdings" w:hAnsi="Wingdings" w:hint="default"/>
      </w:rPr>
    </w:lvl>
  </w:abstractNum>
  <w:abstractNum w:abstractNumId="2">
    <w:nsid w:val="3FF31BBB"/>
    <w:multiLevelType w:val="hybridMultilevel"/>
    <w:tmpl w:val="C478E096"/>
    <w:lvl w:ilvl="0" w:tplc="03E6FEEE">
      <w:start w:val="1"/>
      <w:numFmt w:val="bullet"/>
      <w:lvlText w:val=""/>
      <w:lvlJc w:val="left"/>
      <w:pPr>
        <w:tabs>
          <w:tab w:val="num" w:pos="39"/>
        </w:tabs>
        <w:ind w:left="39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119"/>
        </w:tabs>
        <w:ind w:left="111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abstractNum w:abstractNumId="3">
    <w:nsid w:val="4A5311B5"/>
    <w:multiLevelType w:val="hybridMultilevel"/>
    <w:tmpl w:val="FD320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E3"/>
    <w:rsid w:val="002D60FE"/>
    <w:rsid w:val="00496666"/>
    <w:rsid w:val="004B75E3"/>
    <w:rsid w:val="004F6C59"/>
    <w:rsid w:val="0063375A"/>
    <w:rsid w:val="00877584"/>
    <w:rsid w:val="00896014"/>
    <w:rsid w:val="009B4E13"/>
    <w:rsid w:val="00B75BFA"/>
    <w:rsid w:val="00DB1F60"/>
    <w:rsid w:val="00E1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5E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66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E13"/>
  </w:style>
  <w:style w:type="paragraph" w:styleId="Footer">
    <w:name w:val="footer"/>
    <w:basedOn w:val="Normal"/>
    <w:link w:val="FooterChar"/>
    <w:uiPriority w:val="99"/>
    <w:unhideWhenUsed/>
    <w:rsid w:val="009B4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E13"/>
  </w:style>
  <w:style w:type="paragraph" w:styleId="BalloonText">
    <w:name w:val="Balloon Text"/>
    <w:basedOn w:val="Normal"/>
    <w:link w:val="BalloonTextChar"/>
    <w:uiPriority w:val="99"/>
    <w:semiHidden/>
    <w:unhideWhenUsed/>
    <w:rsid w:val="00DB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5E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66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E13"/>
  </w:style>
  <w:style w:type="paragraph" w:styleId="Footer">
    <w:name w:val="footer"/>
    <w:basedOn w:val="Normal"/>
    <w:link w:val="FooterChar"/>
    <w:uiPriority w:val="99"/>
    <w:unhideWhenUsed/>
    <w:rsid w:val="009B4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E13"/>
  </w:style>
  <w:style w:type="paragraph" w:styleId="BalloonText">
    <w:name w:val="Balloon Text"/>
    <w:basedOn w:val="Normal"/>
    <w:link w:val="BalloonTextChar"/>
    <w:uiPriority w:val="99"/>
    <w:semiHidden/>
    <w:unhideWhenUsed/>
    <w:rsid w:val="00DB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aren.McLaughlin@hnehealth.nsw.gov.a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0.health.nsw.gov.au/policies/pd/2011/pdf/PD2011_078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0.health.nsw.gov.au/policies/pd/2009/pdf/PD2009_060.pdf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PowerPoint_97-2003_Presentation1.ppt"/><Relationship Id="rId10" Type="http://schemas.openxmlformats.org/officeDocument/2006/relationships/hyperlink" Target="http://www0.health.nsw.gov.au/policies/pd/2011/pdf/PD2011_015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0.health.nsw.gov.au/policies/ib/2015/pdf/IB2015_019.pdf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HNELHD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Greig</dc:creator>
  <cp:lastModifiedBy>Jenny Greig</cp:lastModifiedBy>
  <cp:revision>2</cp:revision>
  <dcterms:created xsi:type="dcterms:W3CDTF">2016-07-24T23:32:00Z</dcterms:created>
  <dcterms:modified xsi:type="dcterms:W3CDTF">2016-07-24T23:32:00Z</dcterms:modified>
</cp:coreProperties>
</file>